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8" w:rsidRDefault="00E34F38" w:rsidP="000C29DC">
      <w:pPr>
        <w:spacing w:before="300" w:after="15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it-IT"/>
        </w:rPr>
      </w:pPr>
    </w:p>
    <w:p w:rsidR="00DC2238" w:rsidRPr="001A116B" w:rsidRDefault="00DC2238" w:rsidP="000C29DC">
      <w:pPr>
        <w:spacing w:before="300" w:after="15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it-IT"/>
        </w:rPr>
      </w:pPr>
      <w:r w:rsidRPr="001A116B">
        <w:rPr>
          <w:rFonts w:eastAsia="Times New Roman" w:cstheme="minorHAnsi"/>
          <w:b/>
          <w:bCs/>
          <w:color w:val="333333"/>
          <w:kern w:val="36"/>
          <w:sz w:val="30"/>
          <w:szCs w:val="30"/>
          <w:lang w:eastAsia="it-IT"/>
        </w:rPr>
        <w:t>CONSULTAZIONE PUBBLICA</w:t>
      </w:r>
    </w:p>
    <w:p w:rsidR="00DC2238" w:rsidRPr="001A116B" w:rsidRDefault="00DC2238" w:rsidP="00DC2238">
      <w:pPr>
        <w:spacing w:after="100" w:afterAutospacing="1" w:line="240" w:lineRule="auto"/>
        <w:jc w:val="both"/>
        <w:outlineLvl w:val="0"/>
        <w:rPr>
          <w:rFonts w:cstheme="minorHAnsi"/>
        </w:rPr>
      </w:pPr>
      <w:r w:rsidRPr="001A116B">
        <w:rPr>
          <w:rFonts w:cstheme="minorHAnsi"/>
        </w:rPr>
        <w:t>Unioncamere Puglia – part</w:t>
      </w:r>
      <w:r w:rsidR="008B3DDE">
        <w:rPr>
          <w:rFonts w:cstheme="minorHAnsi"/>
        </w:rPr>
        <w:t>ner della rete EEN – promuove la</w:t>
      </w:r>
      <w:r w:rsidRPr="001A116B">
        <w:rPr>
          <w:rFonts w:cstheme="minorHAnsi"/>
        </w:rPr>
        <w:t xml:space="preserve"> consultazione pubblica </w:t>
      </w:r>
      <w:r w:rsidR="008B3DDE">
        <w:rPr>
          <w:rFonts w:cstheme="minorHAnsi"/>
        </w:rPr>
        <w:t xml:space="preserve">rivolta </w:t>
      </w:r>
      <w:r w:rsidR="008B3DDE">
        <w:t>alle autorità pubbliche, alla società civile, alle imprese e al mondo accademico</w:t>
      </w:r>
      <w:r w:rsidR="008B3DDE" w:rsidRPr="001A116B">
        <w:rPr>
          <w:rFonts w:cstheme="minorHAnsi"/>
        </w:rPr>
        <w:t xml:space="preserve"> </w:t>
      </w:r>
      <w:r w:rsidRPr="001A116B">
        <w:rPr>
          <w:rFonts w:cstheme="minorHAnsi"/>
        </w:rPr>
        <w:t>sul</w:t>
      </w:r>
      <w:r w:rsidR="008B3DDE">
        <w:rPr>
          <w:rFonts w:cstheme="minorHAnsi"/>
        </w:rPr>
        <w:t>le opzioni illustrate nel</w:t>
      </w:r>
      <w:r w:rsidRPr="001A116B">
        <w:rPr>
          <w:rFonts w:cstheme="minorHAnsi"/>
        </w:rPr>
        <w:t xml:space="preserve"> LIBRO </w:t>
      </w:r>
      <w:r w:rsidRPr="00E34F38">
        <w:rPr>
          <w:rFonts w:cstheme="minorHAnsi"/>
        </w:rPr>
        <w:t>BIANCO</w:t>
      </w:r>
      <w:r w:rsidRPr="00E34F38">
        <w:rPr>
          <w:rFonts w:eastAsia="Times New Roman" w:cstheme="minorHAnsi"/>
          <w:bCs/>
          <w:kern w:val="36"/>
          <w:lang w:eastAsia="it-IT"/>
        </w:rPr>
        <w:t xml:space="preserve"> </w:t>
      </w:r>
      <w:r w:rsidR="008B3DDE">
        <w:rPr>
          <w:rFonts w:eastAsia="Times New Roman" w:cstheme="minorHAnsi"/>
          <w:bCs/>
          <w:kern w:val="36"/>
          <w:lang w:eastAsia="it-IT"/>
        </w:rPr>
        <w:t>(in</w:t>
      </w:r>
      <w:r w:rsidR="00E34F38" w:rsidRPr="00E34F38">
        <w:rPr>
          <w:rFonts w:eastAsia="Times New Roman" w:cstheme="minorHAnsi"/>
          <w:bCs/>
          <w:kern w:val="36"/>
          <w:lang w:eastAsia="it-IT"/>
        </w:rPr>
        <w:t xml:space="preserve"> allegato)</w:t>
      </w:r>
      <w:r w:rsidR="008B3DDE">
        <w:rPr>
          <w:rFonts w:eastAsia="Times New Roman" w:cstheme="minorHAnsi"/>
          <w:b/>
          <w:bCs/>
          <w:kern w:val="36"/>
          <w:lang w:eastAsia="it-IT"/>
        </w:rPr>
        <w:t xml:space="preserve">, </w:t>
      </w:r>
      <w:r w:rsidR="008B3DDE" w:rsidRPr="001A116B">
        <w:rPr>
          <w:rFonts w:cstheme="minorHAnsi"/>
        </w:rPr>
        <w:t xml:space="preserve">aperta dalla </w:t>
      </w:r>
      <w:r w:rsidR="008B3DDE">
        <w:rPr>
          <w:rFonts w:cstheme="minorHAnsi"/>
        </w:rPr>
        <w:t xml:space="preserve">Commissione Europea </w:t>
      </w:r>
      <w:r w:rsidR="008B3DDE" w:rsidRPr="001A116B">
        <w:rPr>
          <w:rFonts w:cstheme="minorHAnsi"/>
        </w:rPr>
        <w:t xml:space="preserve">nell'ambito della Strategia </w:t>
      </w:r>
      <w:r w:rsidR="008B3DDE">
        <w:rPr>
          <w:rFonts w:cstheme="minorHAnsi"/>
        </w:rPr>
        <w:t xml:space="preserve">europea di sicurezza economica, </w:t>
      </w:r>
      <w:r w:rsidRPr="001A116B">
        <w:rPr>
          <w:rFonts w:cstheme="minorHAnsi"/>
        </w:rPr>
        <w:t>per rafforzare il sostegno alle attività di ricerca e sviluppo che riguardano tecnolog</w:t>
      </w:r>
      <w:r w:rsidR="008B3DDE">
        <w:rPr>
          <w:rFonts w:cstheme="minorHAnsi"/>
        </w:rPr>
        <w:t xml:space="preserve">ie potenzialmente a duplice uso. </w:t>
      </w:r>
      <w:r w:rsidR="0055453C">
        <w:rPr>
          <w:rFonts w:cstheme="minorHAnsi"/>
        </w:rPr>
        <w:t>Scadenza 30 aprile 2024</w:t>
      </w:r>
      <w:r w:rsidR="008B3DDE">
        <w:rPr>
          <w:rFonts w:cstheme="minorHAnsi"/>
        </w:rPr>
        <w:t>.</w:t>
      </w:r>
      <w:r w:rsidR="008B3DDE">
        <w:t xml:space="preserve"> </w:t>
      </w:r>
    </w:p>
    <w:p w:rsidR="000C29DC" w:rsidRPr="001A116B" w:rsidRDefault="000C29DC" w:rsidP="000C29DC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kern w:val="36"/>
          <w:u w:val="single"/>
          <w:lang w:eastAsia="it-IT"/>
        </w:rPr>
      </w:pPr>
      <w:r w:rsidRPr="001A116B">
        <w:rPr>
          <w:rFonts w:eastAsia="Times New Roman" w:cstheme="minorHAnsi"/>
          <w:b/>
          <w:bCs/>
          <w:kern w:val="36"/>
          <w:u w:val="single"/>
          <w:lang w:eastAsia="it-IT"/>
        </w:rPr>
        <w:t>Quadro legislativo attuale</w:t>
      </w:r>
    </w:p>
    <w:p w:rsidR="000C29DC" w:rsidRPr="001A116B" w:rsidRDefault="000C29DC" w:rsidP="00DC2238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 w:rsidRPr="001A116B">
        <w:rPr>
          <w:rFonts w:eastAsia="Times New Roman" w:cstheme="minorHAnsi"/>
          <w:bCs/>
          <w:kern w:val="36"/>
          <w:lang w:eastAsia="it-IT"/>
        </w:rPr>
        <w:t>Rigorosa separazione tra attività di R&amp;S civili e di difesa:</w:t>
      </w:r>
    </w:p>
    <w:p w:rsidR="000C29DC" w:rsidRPr="001A116B" w:rsidRDefault="000C29DC" w:rsidP="00DC2238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 w:rsidRPr="001A116B">
        <w:rPr>
          <w:rFonts w:eastAsia="Times New Roman" w:cstheme="minorHAnsi"/>
          <w:bCs/>
          <w:kern w:val="36"/>
          <w:lang w:eastAsia="it-IT"/>
        </w:rPr>
        <w:t>- Horizon Europe si concentra esclusivamente sulle applicazioni civili.</w:t>
      </w:r>
    </w:p>
    <w:p w:rsidR="000C29DC" w:rsidRPr="001A116B" w:rsidRDefault="000C29DC" w:rsidP="001A116B">
      <w:pPr>
        <w:tabs>
          <w:tab w:val="left" w:pos="8725"/>
        </w:tabs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 w:rsidRPr="001A116B">
        <w:rPr>
          <w:rFonts w:eastAsia="Times New Roman" w:cstheme="minorHAnsi"/>
          <w:bCs/>
          <w:kern w:val="36"/>
          <w:lang w:eastAsia="it-IT"/>
        </w:rPr>
        <w:t>- Il Fondo europeo per la difesa si concentra esclusivamente sulle applicazioni per la difesa.</w:t>
      </w:r>
      <w:r w:rsidR="001A116B" w:rsidRPr="001A116B">
        <w:rPr>
          <w:rFonts w:eastAsia="Times New Roman" w:cstheme="minorHAnsi"/>
          <w:bCs/>
          <w:kern w:val="36"/>
          <w:lang w:eastAsia="it-IT"/>
        </w:rPr>
        <w:tab/>
      </w:r>
    </w:p>
    <w:p w:rsidR="0055453C" w:rsidRPr="001A116B" w:rsidRDefault="0055453C" w:rsidP="00DC2238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0C29DC" w:rsidRPr="001A116B" w:rsidRDefault="000C29DC" w:rsidP="008B3DDE">
      <w:pPr>
        <w:spacing w:before="120"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 w:rsidRPr="001A116B">
        <w:rPr>
          <w:rFonts w:eastAsia="Times New Roman" w:cstheme="minorHAnsi"/>
          <w:b/>
          <w:bCs/>
          <w:kern w:val="36"/>
          <w:u w:val="single"/>
          <w:lang w:eastAsia="it-IT"/>
        </w:rPr>
        <w:t>Sfida importante</w:t>
      </w:r>
      <w:r w:rsidRPr="001A116B">
        <w:rPr>
          <w:rFonts w:eastAsia="Times New Roman" w:cstheme="minorHAnsi"/>
          <w:b/>
          <w:bCs/>
          <w:kern w:val="36"/>
          <w:lang w:eastAsia="it-IT"/>
        </w:rPr>
        <w:t xml:space="preserve">: </w:t>
      </w:r>
      <w:r w:rsidRPr="001A116B">
        <w:rPr>
          <w:rFonts w:eastAsia="Times New Roman" w:cstheme="minorHAnsi"/>
          <w:bCs/>
          <w:kern w:val="36"/>
          <w:lang w:eastAsia="it-IT"/>
        </w:rPr>
        <w:t>mancanza di una def</w:t>
      </w:r>
      <w:r w:rsidR="00A71263">
        <w:rPr>
          <w:rFonts w:eastAsia="Times New Roman" w:cstheme="minorHAnsi"/>
          <w:bCs/>
          <w:kern w:val="36"/>
          <w:lang w:eastAsia="it-IT"/>
        </w:rPr>
        <w:t xml:space="preserve">inizione comune di "doppio uso" </w:t>
      </w:r>
      <w:r w:rsidR="00A71263">
        <w:t>nel contesto del sostegno alla R&amp;S a livello internazionale o dell'UE.</w:t>
      </w:r>
      <w:r w:rsidR="008B3DDE">
        <w:rPr>
          <w:rFonts w:eastAsia="Times New Roman" w:cstheme="minorHAnsi"/>
          <w:bCs/>
          <w:kern w:val="36"/>
          <w:lang w:eastAsia="it-IT"/>
        </w:rPr>
        <w:t xml:space="preserve"> Il Libro B</w:t>
      </w:r>
      <w:r w:rsidRPr="001A116B">
        <w:rPr>
          <w:rFonts w:eastAsia="Times New Roman" w:cstheme="minorHAnsi"/>
          <w:bCs/>
          <w:kern w:val="36"/>
          <w:lang w:eastAsia="it-IT"/>
        </w:rPr>
        <w:t>ianco invita i partecipanti a condividere le loro opinioni sugli elementi costitutivi di tale definizione.</w:t>
      </w:r>
    </w:p>
    <w:p w:rsidR="000C29DC" w:rsidRPr="001A116B" w:rsidRDefault="000C29DC" w:rsidP="000C29DC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kern w:val="36"/>
          <w:u w:val="single"/>
          <w:lang w:eastAsia="it-IT"/>
        </w:rPr>
      </w:pPr>
      <w:r w:rsidRPr="001A116B">
        <w:rPr>
          <w:rFonts w:eastAsia="Times New Roman" w:cstheme="minorHAnsi"/>
          <w:b/>
          <w:bCs/>
          <w:kern w:val="36"/>
          <w:u w:val="single"/>
          <w:lang w:eastAsia="it-IT"/>
        </w:rPr>
        <w:t>Possibili opzioni per il futuro</w:t>
      </w:r>
    </w:p>
    <w:p w:rsidR="000C29DC" w:rsidRPr="00E34F38" w:rsidRDefault="000C29DC" w:rsidP="00E34F38">
      <w:pPr>
        <w:spacing w:before="120"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 w:rsidRPr="00E34F38">
        <w:rPr>
          <w:rFonts w:eastAsia="Times New Roman" w:cstheme="minorHAnsi"/>
          <w:bCs/>
          <w:kern w:val="36"/>
          <w:lang w:eastAsia="it-IT"/>
        </w:rPr>
        <w:t>Opzione</w:t>
      </w:r>
      <w:r w:rsidR="00DC2238" w:rsidRPr="00E34F38">
        <w:rPr>
          <w:rFonts w:eastAsia="Times New Roman" w:cstheme="minorHAnsi"/>
          <w:bCs/>
          <w:kern w:val="36"/>
          <w:lang w:eastAsia="it-IT"/>
        </w:rPr>
        <w:t xml:space="preserve"> </w:t>
      </w:r>
      <w:r w:rsidRPr="00E34F38">
        <w:rPr>
          <w:rFonts w:eastAsia="Times New Roman" w:cstheme="minorHAnsi"/>
          <w:bCs/>
          <w:kern w:val="36"/>
          <w:lang w:eastAsia="it-IT"/>
        </w:rPr>
        <w:t xml:space="preserve"> </w:t>
      </w:r>
      <w:r w:rsidR="00E34F38">
        <w:rPr>
          <w:rFonts w:eastAsia="Times New Roman" w:cstheme="minorHAnsi"/>
          <w:bCs/>
          <w:kern w:val="36"/>
          <w:lang w:eastAsia="it-IT"/>
        </w:rPr>
        <w:t xml:space="preserve">1: </w:t>
      </w:r>
      <w:r w:rsidR="008B3DDE">
        <w:rPr>
          <w:rFonts w:eastAsia="Times New Roman" w:cstheme="minorHAnsi"/>
          <w:bCs/>
          <w:kern w:val="36"/>
          <w:lang w:eastAsia="it-IT"/>
        </w:rPr>
        <w:tab/>
      </w:r>
      <w:r w:rsidR="00345CAF">
        <w:rPr>
          <w:rFonts w:eastAsia="Times New Roman" w:cstheme="minorHAnsi"/>
          <w:bCs/>
          <w:kern w:val="36"/>
          <w:lang w:eastAsia="it-IT"/>
        </w:rPr>
        <w:t>F</w:t>
      </w:r>
      <w:r w:rsidR="00A71263">
        <w:rPr>
          <w:rFonts w:eastAsia="Times New Roman" w:cstheme="minorHAnsi"/>
          <w:bCs/>
          <w:kern w:val="36"/>
          <w:lang w:eastAsia="it-IT"/>
        </w:rPr>
        <w:t xml:space="preserve">are progressi </w:t>
      </w:r>
      <w:r w:rsidRPr="00E34F38">
        <w:rPr>
          <w:rFonts w:eastAsia="Times New Roman" w:cstheme="minorHAnsi"/>
          <w:bCs/>
          <w:kern w:val="36"/>
          <w:lang w:eastAsia="it-IT"/>
        </w:rPr>
        <w:t>sulla base dell'attuale assetto</w:t>
      </w:r>
      <w:r w:rsidR="001A116B" w:rsidRPr="00E34F38">
        <w:rPr>
          <w:rFonts w:eastAsia="Times New Roman" w:cstheme="minorHAnsi"/>
          <w:bCs/>
          <w:kern w:val="36"/>
          <w:lang w:eastAsia="it-IT"/>
        </w:rPr>
        <w:t>.</w:t>
      </w:r>
    </w:p>
    <w:p w:rsidR="000C29DC" w:rsidRPr="00E34F38" w:rsidRDefault="00E34F38" w:rsidP="008B3DDE">
      <w:pPr>
        <w:spacing w:after="0" w:line="240" w:lineRule="auto"/>
        <w:ind w:left="1416" w:hanging="1416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 xml:space="preserve">Opzione </w:t>
      </w:r>
      <w:r w:rsidR="008B3DDE">
        <w:rPr>
          <w:rFonts w:eastAsia="Times New Roman" w:cstheme="minorHAnsi"/>
          <w:bCs/>
          <w:kern w:val="36"/>
          <w:lang w:eastAsia="it-IT"/>
        </w:rPr>
        <w:t xml:space="preserve"> </w:t>
      </w:r>
      <w:r>
        <w:rPr>
          <w:rFonts w:eastAsia="Times New Roman" w:cstheme="minorHAnsi"/>
          <w:bCs/>
          <w:kern w:val="36"/>
          <w:lang w:eastAsia="it-IT"/>
        </w:rPr>
        <w:t>2:</w:t>
      </w:r>
      <w:r w:rsidR="008B3DDE"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 xml:space="preserve"> </w:t>
      </w:r>
      <w:r w:rsidR="00345CAF">
        <w:rPr>
          <w:rFonts w:eastAsia="Times New Roman" w:cstheme="minorHAnsi"/>
          <w:bCs/>
          <w:kern w:val="36"/>
          <w:lang w:eastAsia="it-IT"/>
        </w:rPr>
        <w:t>E</w:t>
      </w:r>
      <w:r w:rsidR="000C29DC" w:rsidRPr="00E34F38">
        <w:rPr>
          <w:rFonts w:eastAsia="Times New Roman" w:cstheme="minorHAnsi"/>
          <w:bCs/>
          <w:kern w:val="36"/>
          <w:lang w:eastAsia="it-IT"/>
        </w:rPr>
        <w:t xml:space="preserve">liminare l'attenzione esclusiva per le applicazioni civili in </w:t>
      </w:r>
      <w:r w:rsidR="00A71263">
        <w:rPr>
          <w:rFonts w:eastAsia="Times New Roman" w:cstheme="minorHAnsi"/>
          <w:bCs/>
          <w:kern w:val="36"/>
          <w:lang w:eastAsia="it-IT"/>
        </w:rPr>
        <w:t xml:space="preserve">parti selezionate del programma che farà seguito a </w:t>
      </w:r>
      <w:r w:rsidR="000C29DC" w:rsidRPr="00E34F38">
        <w:rPr>
          <w:rFonts w:eastAsia="Times New Roman" w:cstheme="minorHAnsi"/>
          <w:bCs/>
          <w:kern w:val="36"/>
          <w:lang w:eastAsia="it-IT"/>
        </w:rPr>
        <w:t>Horizon Europe.</w:t>
      </w:r>
    </w:p>
    <w:p w:rsidR="00DC2238" w:rsidRDefault="00A71263" w:rsidP="008B3DDE">
      <w:pPr>
        <w:spacing w:after="0" w:line="240" w:lineRule="auto"/>
        <w:ind w:left="1410" w:hanging="1410"/>
        <w:jc w:val="both"/>
        <w:outlineLvl w:val="0"/>
        <w:rPr>
          <w:rFonts w:eastAsia="Times New Roman" w:cstheme="minorHAnsi"/>
          <w:b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 xml:space="preserve">Opzione 3: </w:t>
      </w:r>
      <w:r w:rsidR="008B3DDE"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 xml:space="preserve">Creare uno strumento </w:t>
      </w:r>
      <w:r w:rsidR="000C29DC" w:rsidRPr="00E34F38">
        <w:rPr>
          <w:rFonts w:eastAsia="Times New Roman" w:cstheme="minorHAnsi"/>
          <w:bCs/>
          <w:kern w:val="36"/>
          <w:lang w:eastAsia="it-IT"/>
        </w:rPr>
        <w:t xml:space="preserve">dedicato </w:t>
      </w:r>
      <w:r>
        <w:rPr>
          <w:rFonts w:eastAsia="Times New Roman" w:cstheme="minorHAnsi"/>
          <w:bCs/>
          <w:kern w:val="36"/>
          <w:lang w:eastAsia="it-IT"/>
        </w:rPr>
        <w:t>che riguardi specificatamente la R&amp;S con potenziale di duplice</w:t>
      </w:r>
      <w:r w:rsidR="000C29DC" w:rsidRPr="00E34F38">
        <w:rPr>
          <w:rFonts w:eastAsia="Times New Roman" w:cstheme="minorHAnsi"/>
          <w:bCs/>
          <w:kern w:val="36"/>
          <w:lang w:eastAsia="it-IT"/>
        </w:rPr>
        <w:t xml:space="preserve"> uso.</w:t>
      </w:r>
    </w:p>
    <w:p w:rsidR="007E400E" w:rsidRPr="007E400E" w:rsidRDefault="007E400E" w:rsidP="007E400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DC2238" w:rsidTr="009336FA">
        <w:tc>
          <w:tcPr>
            <w:tcW w:w="9854" w:type="dxa"/>
          </w:tcPr>
          <w:p w:rsidR="00DC2238" w:rsidRPr="001A116B" w:rsidRDefault="001A116B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lang w:eastAsia="it-IT"/>
              </w:rPr>
              <w:t>Inserisci qui il tuo f</w:t>
            </w:r>
            <w:r w:rsidR="00DC2238" w:rsidRPr="001A116B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lang w:eastAsia="it-IT"/>
              </w:rPr>
              <w:t>eedback</w:t>
            </w:r>
            <w:r w:rsidR="007E400E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lang w:eastAsia="it-IT"/>
              </w:rPr>
              <w:t xml:space="preserve"> _________________________________________________________</w:t>
            </w:r>
          </w:p>
          <w:p w:rsidR="00E34F38" w:rsidRDefault="00DC2238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________________________________________________________________________________________________</w:t>
            </w:r>
          </w:p>
          <w:p w:rsidR="00E34F38" w:rsidRDefault="00DC2238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________________________________________________________________________________________________</w:t>
            </w:r>
          </w:p>
          <w:p w:rsidR="00E34F38" w:rsidRDefault="00DC2238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________________________________________________________________________________________________</w:t>
            </w:r>
          </w:p>
          <w:p w:rsidR="00E34F38" w:rsidRDefault="00DC2238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_______________________________________________________________________________________________</w:t>
            </w:r>
          </w:p>
          <w:p w:rsidR="00E34F38" w:rsidRDefault="00DC2238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___________________________________________________________________________________________</w:t>
            </w:r>
            <w:r w:rsidR="00E34F38"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</w:t>
            </w:r>
          </w:p>
          <w:p w:rsidR="007E400E" w:rsidRDefault="00DC2238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</w:t>
            </w:r>
            <w:r w:rsidR="007E400E"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</w:t>
            </w:r>
          </w:p>
          <w:p w:rsidR="00DC2238" w:rsidRDefault="007E400E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______________________________________________________________________________________________</w:t>
            </w:r>
          </w:p>
          <w:p w:rsidR="00E34F38" w:rsidRPr="007E400E" w:rsidRDefault="009336FA" w:rsidP="001A116B">
            <w:pPr>
              <w:spacing w:before="300" w:after="150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 w:rsidRPr="001A116B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lang w:eastAsia="it-IT"/>
              </w:rPr>
              <w:t>Nome e Cognome</w:t>
            </w:r>
            <w:r w:rsidR="001A116B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lang w:eastAsia="it-IT"/>
              </w:rPr>
              <w:t xml:space="preserve"> ______________________________________________________________</w:t>
            </w: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______________________</w:t>
            </w:r>
          </w:p>
          <w:p w:rsidR="009336FA" w:rsidRDefault="009336FA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Email _______________________________________________________________________________________</w:t>
            </w:r>
          </w:p>
          <w:p w:rsidR="007E400E" w:rsidRPr="007E400E" w:rsidRDefault="009336FA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lastRenderedPageBreak/>
              <w:t>Paese _______________________________________________________________________________________</w:t>
            </w:r>
          </w:p>
          <w:p w:rsidR="00DC2238" w:rsidRDefault="007E400E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Indicare la categoria di appartenenza</w:t>
            </w:r>
            <w:r w:rsidR="00446490"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  <w:t>: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4811"/>
              <w:gridCol w:w="4812"/>
            </w:tblGrid>
            <w:tr w:rsidR="007E400E" w:rsidTr="007E400E">
              <w:tc>
                <w:tcPr>
                  <w:tcW w:w="4811" w:type="dxa"/>
                </w:tcPr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istituzione accademica/di ricerca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associazione di categoria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azienda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organizzazione dei consumatori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cittadino europeo</w:t>
                  </w:r>
                </w:p>
                <w:p w:rsidR="007E400E" w:rsidRDefault="007E400E" w:rsidP="000C29DC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organizzazione ambientale</w:t>
                  </w:r>
                </w:p>
              </w:tc>
              <w:tc>
                <w:tcPr>
                  <w:tcW w:w="4812" w:type="dxa"/>
                </w:tcPr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cittadino extracomunitario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organizzazione non governativa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autorità pubblica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sindacato</w:t>
                  </w:r>
                </w:p>
                <w:p w:rsidR="007E400E" w:rsidRDefault="007E400E" w:rsidP="007E400E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  <w:t>- altro ___________________________________</w:t>
                  </w:r>
                </w:p>
                <w:p w:rsidR="007E400E" w:rsidRDefault="007E400E" w:rsidP="000C29DC">
                  <w:pPr>
                    <w:spacing w:before="300" w:after="150"/>
                    <w:jc w:val="both"/>
                    <w:outlineLvl w:val="0"/>
                    <w:rPr>
                      <w:rFonts w:eastAsia="Times New Roman" w:cstheme="minorHAnsi"/>
                      <w:b/>
                      <w:bCs/>
                      <w:color w:val="333333"/>
                      <w:kern w:val="36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46490" w:rsidRDefault="00446490" w:rsidP="000C29DC">
            <w:pPr>
              <w:spacing w:before="300" w:after="150"/>
              <w:jc w:val="both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0"/>
                <w:szCs w:val="20"/>
                <w:lang w:eastAsia="it-IT"/>
              </w:rPr>
            </w:pPr>
          </w:p>
        </w:tc>
      </w:tr>
    </w:tbl>
    <w:p w:rsidR="00E34F38" w:rsidRDefault="0055453C" w:rsidP="009336FA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  <w:lastRenderedPageBreak/>
        <w:t>Puoi i</w:t>
      </w:r>
      <w:r w:rsidR="00E34F38" w:rsidRPr="00E34F38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  <w:t>nvia</w:t>
      </w: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  <w:t xml:space="preserve">re il tuo contributo cliccando </w:t>
      </w:r>
      <w:hyperlink r:id="rId7" w:history="1">
        <w:r w:rsidRPr="0055453C">
          <w:rPr>
            <w:rStyle w:val="Collegamentoipertestuale"/>
            <w:rFonts w:eastAsia="Times New Roman" w:cstheme="minorHAnsi"/>
            <w:b/>
            <w:bCs/>
            <w:kern w:val="36"/>
            <w:sz w:val="24"/>
            <w:szCs w:val="24"/>
            <w:lang w:eastAsia="it-IT"/>
          </w:rPr>
          <w:t>QUI</w:t>
        </w:r>
      </w:hyperlink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  <w:t xml:space="preserve">  avendo cura di rinviare la presente scheda </w:t>
      </w:r>
      <w:r w:rsidRPr="00E34F38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  <w:t xml:space="preserve">a </w:t>
      </w:r>
      <w:hyperlink r:id="rId8" w:history="1">
        <w:r w:rsidRPr="00E34F38">
          <w:rPr>
            <w:rStyle w:val="Collegamentoipertestuale"/>
            <w:rFonts w:eastAsia="Times New Roman" w:cstheme="minorHAnsi"/>
            <w:b/>
            <w:bCs/>
            <w:kern w:val="36"/>
            <w:sz w:val="24"/>
            <w:szCs w:val="24"/>
            <w:lang w:eastAsia="it-IT"/>
          </w:rPr>
          <w:t>een.puglia@unioncamerepuglia.it</w:t>
        </w:r>
      </w:hyperlink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it-IT"/>
        </w:rPr>
        <w:t xml:space="preserve"> entro il 30 aprile 2024</w:t>
      </w:r>
    </w:p>
    <w:p w:rsidR="0055453C" w:rsidRPr="0055453C" w:rsidRDefault="0055453C" w:rsidP="009336FA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10"/>
          <w:szCs w:val="10"/>
          <w:lang w:eastAsia="it-IT"/>
        </w:rPr>
      </w:pPr>
    </w:p>
    <w:p w:rsidR="009336FA" w:rsidRPr="009336FA" w:rsidRDefault="009336FA" w:rsidP="0055453C">
      <w:pPr>
        <w:spacing w:before="120" w:after="15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Impostazioni sulla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privacy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della pubblicazione dei 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feedback</w:t>
      </w:r>
    </w:p>
    <w:p w:rsidR="009336FA" w:rsidRPr="009336FA" w:rsidRDefault="009336FA" w:rsidP="009336FA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La Commissione pubblicherà tutti i contributi a questa consultaz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ione pubblica. Puoi scegliere se preferisci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che i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tuoi 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d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ati siano pubblicati o rimanere anonimo quando il tuo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contributo sarà pubblicato. Ai fini della traspa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renza, sono</w:t>
      </w: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sempre pubblicate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le tipologie di rispondenti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(ad esempio, "associazione di imprese, "associazione di consumatori", "cittadino dell'UE"), i</w:t>
      </w: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 paese di origine, il nome e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la dimensione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dell'organizzazione e il suo numero di registro. Il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tuo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indirizzo e-mail non sarà mai pubb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licato. Selezionate l'opzione sulla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privacy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che meglio si adatta a te. Le opzioni sulla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privacy sono predefinite in base al tipo di rispondente selezionato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.</w:t>
      </w:r>
    </w:p>
    <w:p w:rsidR="009336FA" w:rsidRDefault="005A4ED9" w:rsidP="009336F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noProof/>
          <w:color w:val="333333"/>
          <w:kern w:val="36"/>
          <w:sz w:val="20"/>
          <w:szCs w:val="20"/>
          <w:lang w:eastAsia="it-IT"/>
        </w:rPr>
        <w:pict>
          <v:roundrect id="_x0000_s1026" style="position:absolute;left:0;text-align:left;margin-left:41.55pt;margin-top:10.4pt;width:18pt;height:12pt;z-index:251658240" arcsize="10923f"/>
        </w:pict>
      </w:r>
    </w:p>
    <w:p w:rsidR="009336FA" w:rsidRPr="009336FA" w:rsidRDefault="009336FA" w:rsidP="009336F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Anonimo</w:t>
      </w:r>
    </w:p>
    <w:p w:rsidR="009336FA" w:rsidRDefault="009336FA" w:rsidP="009336F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Vengono pubblicati so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lo i dati dell'organizzazione: i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l t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ipo di rispondente con cui hai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risposto a questa consultazione, il nome dell'organizzaz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ione per conto della quale hai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risposto, il s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uo numero di trasparenza, la sua dimensione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, il suo Paese di origine e il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tuo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contributo saranno pubblicati come ricevuti. Il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tuo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nome non sarà pubblicato. Se si desidera mantenere l'anonimato, si prega di non includere alcun dato personale nel contributo stesso.</w:t>
      </w:r>
    </w:p>
    <w:p w:rsidR="009336FA" w:rsidRDefault="009336FA" w:rsidP="009336F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</w:p>
    <w:p w:rsidR="009336FA" w:rsidRPr="009336FA" w:rsidRDefault="005A4ED9" w:rsidP="009336F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noProof/>
          <w:color w:val="333333"/>
          <w:kern w:val="36"/>
          <w:sz w:val="20"/>
          <w:szCs w:val="20"/>
          <w:lang w:eastAsia="it-IT"/>
        </w:rPr>
        <w:pict>
          <v:roundrect id="_x0000_s1027" style="position:absolute;left:0;text-align:left;margin-left:41.55pt;margin-top:11.2pt;width:18pt;height:12pt;z-index:251659264" arcsize="10923f"/>
        </w:pict>
      </w:r>
    </w:p>
    <w:p w:rsidR="009336FA" w:rsidRPr="009336FA" w:rsidRDefault="009336FA" w:rsidP="009336F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Pubblico</w:t>
      </w:r>
    </w:p>
    <w:p w:rsidR="009336FA" w:rsidRPr="009336FA" w:rsidRDefault="009336FA" w:rsidP="0055453C">
      <w:pPr>
        <w:spacing w:before="120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I dati dell'organizzazione e i dati de</w:t>
      </w: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i rispondenti sono pubblicati: 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il tipo di rispondente che ha risposto a questa consultazione, il nome dell'organizzazione per conto della quale ha risposto, il suo numero di trasparenza, le sue dimensioni, il suo Paese di origine e il suo contributo. Anche </w:t>
      </w:r>
      <w:r w:rsidR="001A116B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il tuo</w:t>
      </w:r>
      <w:r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nome sarà pubblicato.</w:t>
      </w:r>
    </w:p>
    <w:p w:rsidR="007E400E" w:rsidRDefault="005A4ED9" w:rsidP="007E400E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noProof/>
          <w:color w:val="333333"/>
          <w:kern w:val="36"/>
          <w:sz w:val="20"/>
          <w:szCs w:val="20"/>
          <w:lang w:eastAsia="it-IT"/>
        </w:rPr>
        <w:pict>
          <v:roundrect id="_x0000_s1028" style="position:absolute;left:0;text-align:left;margin-left:1.8pt;margin-top:8.45pt;width:18pt;height:12pt;z-index:251660288" arcsize="10923f"/>
        </w:pict>
      </w:r>
      <w:r w:rsid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         </w:t>
      </w:r>
      <w:r w:rsidR="009336FA" w:rsidRP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Accetto le disposizioni sulla</w:t>
      </w:r>
      <w:r w:rsidR="009336FA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protezione dei dati personali pubblicate al seguente link </w:t>
      </w:r>
      <w:hyperlink r:id="rId9" w:history="1">
        <w:r w:rsidR="00E34F38" w:rsidRPr="00C54838">
          <w:rPr>
            <w:rStyle w:val="Collegamentoipertestuale"/>
            <w:rFonts w:eastAsia="Times New Roman" w:cstheme="minorHAnsi"/>
            <w:b/>
            <w:bCs/>
            <w:kern w:val="36"/>
            <w:sz w:val="20"/>
            <w:szCs w:val="20"/>
            <w:lang w:eastAsia="it-IT"/>
          </w:rPr>
          <w:t>https://ec.europa.eu/info/law/better-regulation/specific-privacy-statement_en</w:t>
        </w:r>
      </w:hyperlink>
      <w:r w:rsidR="00E34F38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</w:t>
      </w:r>
    </w:p>
    <w:p w:rsidR="007E400E" w:rsidRDefault="007E400E" w:rsidP="007E400E">
      <w:pPr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Firma</w:t>
      </w:r>
    </w:p>
    <w:p w:rsidR="007E400E" w:rsidRPr="007E400E" w:rsidRDefault="0055453C" w:rsidP="007E400E">
      <w:pPr>
        <w:spacing w:before="300" w:after="150" w:line="240" w:lineRule="auto"/>
        <w:ind w:left="5664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 xml:space="preserve">  </w:t>
      </w:r>
      <w:r w:rsidR="007E400E">
        <w:rPr>
          <w:rFonts w:eastAsia="Times New Roman" w:cstheme="minorHAnsi"/>
          <w:b/>
          <w:bCs/>
          <w:color w:val="333333"/>
          <w:kern w:val="36"/>
          <w:sz w:val="20"/>
          <w:szCs w:val="20"/>
          <w:lang w:eastAsia="it-IT"/>
        </w:rPr>
        <w:t>____________________________________</w:t>
      </w:r>
    </w:p>
    <w:sectPr w:rsidR="007E400E" w:rsidRPr="007E400E" w:rsidSect="0034213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11" w:rsidRDefault="00142011" w:rsidP="001A116B">
      <w:pPr>
        <w:spacing w:after="0" w:line="240" w:lineRule="auto"/>
      </w:pPr>
      <w:r>
        <w:separator/>
      </w:r>
    </w:p>
  </w:endnote>
  <w:endnote w:type="continuationSeparator" w:id="1">
    <w:p w:rsidR="00142011" w:rsidRDefault="00142011" w:rsidP="001A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11" w:rsidRDefault="00142011" w:rsidP="001A116B">
      <w:pPr>
        <w:spacing w:after="0" w:line="240" w:lineRule="auto"/>
      </w:pPr>
      <w:r>
        <w:separator/>
      </w:r>
    </w:p>
  </w:footnote>
  <w:footnote w:type="continuationSeparator" w:id="1">
    <w:p w:rsidR="00142011" w:rsidRDefault="00142011" w:rsidP="001A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38" w:rsidRDefault="00E34F38">
    <w:pPr>
      <w:pStyle w:val="Intestazione"/>
    </w:pPr>
  </w:p>
  <w:p w:rsidR="00E34F38" w:rsidRDefault="00E34F38">
    <w:pPr>
      <w:pStyle w:val="Intestazione"/>
    </w:pPr>
  </w:p>
  <w:p w:rsidR="001A116B" w:rsidRDefault="001A11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2988310</wp:posOffset>
          </wp:positionH>
          <wp:positionV relativeFrom="line">
            <wp:posOffset>-331470</wp:posOffset>
          </wp:positionV>
          <wp:extent cx="1755775" cy="699135"/>
          <wp:effectExtent l="19050" t="0" r="0" b="0"/>
          <wp:wrapTight wrapText="bothSides">
            <wp:wrapPolygon edited="0">
              <wp:start x="-234" y="0"/>
              <wp:lineTo x="-234" y="21188"/>
              <wp:lineTo x="21561" y="21188"/>
              <wp:lineTo x="21561" y="0"/>
              <wp:lineTo x="-234" y="0"/>
            </wp:wrapPolygon>
          </wp:wrapTight>
          <wp:docPr id="3" name="Immagine 3" descr="Logo EEN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EN 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1235075</wp:posOffset>
          </wp:positionH>
          <wp:positionV relativeFrom="paragraph">
            <wp:posOffset>-299085</wp:posOffset>
          </wp:positionV>
          <wp:extent cx="1830705" cy="623570"/>
          <wp:effectExtent l="19050" t="0" r="0" b="0"/>
          <wp:wrapNone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F07"/>
    <w:multiLevelType w:val="hybridMultilevel"/>
    <w:tmpl w:val="DB481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9DC"/>
    <w:rsid w:val="000C29DC"/>
    <w:rsid w:val="00142011"/>
    <w:rsid w:val="001A116B"/>
    <w:rsid w:val="00342133"/>
    <w:rsid w:val="00345CAF"/>
    <w:rsid w:val="00446490"/>
    <w:rsid w:val="0055453C"/>
    <w:rsid w:val="005A4ED9"/>
    <w:rsid w:val="007E400E"/>
    <w:rsid w:val="008B3DDE"/>
    <w:rsid w:val="009336FA"/>
    <w:rsid w:val="00A71263"/>
    <w:rsid w:val="00BB131D"/>
    <w:rsid w:val="00C21B99"/>
    <w:rsid w:val="00DC2238"/>
    <w:rsid w:val="00E34F38"/>
    <w:rsid w:val="00EC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133"/>
  </w:style>
  <w:style w:type="paragraph" w:styleId="Titolo1">
    <w:name w:val="heading 1"/>
    <w:basedOn w:val="Normale"/>
    <w:link w:val="Titolo1Carattere"/>
    <w:uiPriority w:val="9"/>
    <w:qFormat/>
    <w:rsid w:val="000C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9D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DC2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336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116B"/>
  </w:style>
  <w:style w:type="paragraph" w:styleId="Pidipagina">
    <w:name w:val="footer"/>
    <w:basedOn w:val="Normale"/>
    <w:link w:val="PidipaginaCarattere"/>
    <w:uiPriority w:val="99"/>
    <w:semiHidden/>
    <w:unhideWhenUsed/>
    <w:rsid w:val="001A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116B"/>
  </w:style>
  <w:style w:type="paragraph" w:styleId="Paragrafoelenco">
    <w:name w:val="List Paragraph"/>
    <w:basedOn w:val="Normale"/>
    <w:uiPriority w:val="34"/>
    <w:qFormat/>
    <w:rsid w:val="001A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.puglia@unioncamere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law/better-regulation/have-your-say/initiatives/14060-RD-on-dual-use-technologies-options-for-support/addFeedback_en?p_id=325033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law/better-regulation/specific-privacy-statement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Sergi</dc:creator>
  <cp:lastModifiedBy>Adele</cp:lastModifiedBy>
  <cp:revision>4</cp:revision>
  <dcterms:created xsi:type="dcterms:W3CDTF">2024-02-27T12:49:00Z</dcterms:created>
  <dcterms:modified xsi:type="dcterms:W3CDTF">2024-02-27T12:52:00Z</dcterms:modified>
</cp:coreProperties>
</file>